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5" w:rsidRPr="006960A9" w:rsidRDefault="00AE63C5" w:rsidP="00AE63C5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Study of interaction mechanisms of alpha particles with 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B nuclei at low energies</w:t>
      </w:r>
    </w:p>
    <w:p w:rsidR="006960A9" w:rsidRPr="006960A9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lang w:val="en-US"/>
        </w:rPr>
        <w:t>N. Burtebayev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96272">
        <w:rPr>
          <w:rFonts w:ascii="Times New Roman" w:hAnsi="Times New Roman"/>
          <w:sz w:val="24"/>
          <w:szCs w:val="24"/>
          <w:lang w:val="en-US"/>
        </w:rPr>
        <w:t>, Sh. Hamada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296272">
        <w:rPr>
          <w:rFonts w:ascii="Times New Roman" w:hAnsi="Times New Roman"/>
          <w:sz w:val="24"/>
          <w:szCs w:val="24"/>
          <w:lang w:val="en-US"/>
        </w:rPr>
        <w:t>, Y. Mukhamejanov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296272">
        <w:rPr>
          <w:rFonts w:ascii="Times New Roman" w:hAnsi="Times New Roman"/>
          <w:sz w:val="24"/>
          <w:szCs w:val="24"/>
          <w:lang w:val="en-US"/>
        </w:rPr>
        <w:t>, M. Nassurlla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296272">
        <w:rPr>
          <w:rFonts w:ascii="Times New Roman" w:hAnsi="Times New Roman"/>
          <w:sz w:val="24"/>
          <w:szCs w:val="24"/>
          <w:lang w:val="en-US"/>
        </w:rPr>
        <w:t>, A. Morzabayev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lang w:val="en-US"/>
        </w:rPr>
        <w:t>S. Sakhiyev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296272">
        <w:rPr>
          <w:rFonts w:ascii="Times New Roman" w:hAnsi="Times New Roman"/>
          <w:sz w:val="24"/>
          <w:szCs w:val="24"/>
          <w:lang w:val="en-US"/>
        </w:rPr>
        <w:t>, W.Trzaska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296272">
        <w:rPr>
          <w:rFonts w:ascii="Times New Roman" w:hAnsi="Times New Roman"/>
          <w:sz w:val="24"/>
          <w:szCs w:val="24"/>
          <w:lang w:val="en-US"/>
        </w:rPr>
        <w:t>, A.Demyanova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296272">
        <w:rPr>
          <w:rFonts w:ascii="Times New Roman" w:hAnsi="Times New Roman"/>
          <w:sz w:val="24"/>
          <w:szCs w:val="24"/>
          <w:lang w:val="en-US"/>
        </w:rPr>
        <w:t>, A. Ogloblin</w:t>
      </w: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="00277964" w:rsidRPr="00296272">
        <w:rPr>
          <w:rFonts w:ascii="Times New Roman" w:hAnsi="Times New Roman"/>
          <w:sz w:val="24"/>
          <w:szCs w:val="24"/>
          <w:lang w:val="en-US"/>
        </w:rPr>
        <w:t xml:space="preserve">, S.B. </w:t>
      </w:r>
      <w:proofErr w:type="spellStart"/>
      <w:r w:rsidR="00277964" w:rsidRPr="00296272">
        <w:rPr>
          <w:rFonts w:ascii="Times New Roman" w:hAnsi="Times New Roman"/>
          <w:sz w:val="24"/>
          <w:szCs w:val="24"/>
          <w:lang w:val="en-US"/>
        </w:rPr>
        <w:t>Sakuta</w:t>
      </w:r>
      <w:proofErr w:type="spellEnd"/>
      <w:r w:rsidR="00277964" w:rsidRPr="00296272">
        <w:rPr>
          <w:rFonts w:ascii="Times New Roman" w:hAnsi="Times New Roman"/>
          <w:sz w:val="24"/>
          <w:szCs w:val="24"/>
          <w:lang w:val="en-US"/>
        </w:rPr>
        <w:t>, S.V. Artemov</w:t>
      </w:r>
      <w:r w:rsidR="00277964"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 Institute of Nuclear Physics, </w:t>
      </w:r>
      <w:proofErr w:type="spellStart"/>
      <w:r w:rsidRPr="00296272">
        <w:rPr>
          <w:rFonts w:ascii="Times New Roman" w:hAnsi="Times New Roman"/>
          <w:sz w:val="24"/>
          <w:szCs w:val="24"/>
          <w:lang w:val="en-US"/>
        </w:rPr>
        <w:t>Almaty</w:t>
      </w:r>
      <w:proofErr w:type="spellEnd"/>
      <w:r w:rsidRPr="00296272">
        <w:rPr>
          <w:rFonts w:ascii="Times New Roman" w:hAnsi="Times New Roman"/>
          <w:sz w:val="24"/>
          <w:szCs w:val="24"/>
          <w:lang w:val="en-US"/>
        </w:rPr>
        <w:t>, Kazakhstan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6272">
        <w:rPr>
          <w:rFonts w:ascii="Times New Roman" w:hAnsi="Times New Roman"/>
          <w:sz w:val="24"/>
          <w:szCs w:val="24"/>
          <w:lang w:val="en-US"/>
        </w:rPr>
        <w:t>Faculty</w:t>
      </w:r>
      <w:proofErr w:type="gramEnd"/>
      <w:r w:rsidRPr="00296272">
        <w:rPr>
          <w:rFonts w:ascii="Times New Roman" w:hAnsi="Times New Roman"/>
          <w:sz w:val="24"/>
          <w:szCs w:val="24"/>
          <w:lang w:val="en-US"/>
        </w:rPr>
        <w:t xml:space="preserve"> of Science, Tanta University, Tanta, Egypt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 Al-Farabi Kazakh National University, </w:t>
      </w:r>
      <w:proofErr w:type="spellStart"/>
      <w:r w:rsidRPr="00296272">
        <w:rPr>
          <w:rFonts w:ascii="Times New Roman" w:hAnsi="Times New Roman"/>
          <w:sz w:val="24"/>
          <w:szCs w:val="24"/>
          <w:lang w:val="en-US"/>
        </w:rPr>
        <w:t>Almaty</w:t>
      </w:r>
      <w:proofErr w:type="spellEnd"/>
      <w:r w:rsidRPr="00296272">
        <w:rPr>
          <w:rFonts w:ascii="Times New Roman" w:hAnsi="Times New Roman"/>
          <w:sz w:val="24"/>
          <w:szCs w:val="24"/>
          <w:lang w:val="en-US"/>
        </w:rPr>
        <w:t>, Kazakhstan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 Eurasia National </w:t>
      </w:r>
      <w:proofErr w:type="gramStart"/>
      <w:r w:rsidRPr="00296272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Pr="00296272">
        <w:rPr>
          <w:rFonts w:ascii="Times New Roman" w:hAnsi="Times New Roman"/>
          <w:sz w:val="24"/>
          <w:szCs w:val="24"/>
          <w:lang w:val="en-US"/>
        </w:rPr>
        <w:t>, Astana, Kazakhstan</w:t>
      </w:r>
    </w:p>
    <w:p w:rsidR="006960A9" w:rsidRPr="00296272" w:rsidRDefault="006960A9" w:rsidP="006960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University of </w:t>
      </w:r>
      <w:proofErr w:type="spellStart"/>
      <w:r w:rsidRPr="00296272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29627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6272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296272">
        <w:rPr>
          <w:rFonts w:ascii="Times New Roman" w:hAnsi="Times New Roman"/>
          <w:sz w:val="24"/>
          <w:szCs w:val="24"/>
          <w:lang w:val="en-US"/>
        </w:rPr>
        <w:t>, Finland</w:t>
      </w:r>
    </w:p>
    <w:p w:rsidR="006960A9" w:rsidRPr="00296272" w:rsidRDefault="006960A9" w:rsidP="006960A9">
      <w:pPr>
        <w:spacing w:after="96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NRC </w:t>
      </w:r>
      <w:proofErr w:type="spellStart"/>
      <w:r w:rsidRPr="00296272">
        <w:rPr>
          <w:rFonts w:ascii="Times New Roman" w:hAnsi="Times New Roman"/>
          <w:sz w:val="24"/>
          <w:szCs w:val="24"/>
          <w:lang w:val="en-US"/>
        </w:rPr>
        <w:t>Kurchatov</w:t>
      </w:r>
      <w:proofErr w:type="spellEnd"/>
      <w:r w:rsidRPr="00296272">
        <w:rPr>
          <w:rFonts w:ascii="Times New Roman" w:hAnsi="Times New Roman"/>
          <w:sz w:val="24"/>
          <w:szCs w:val="24"/>
          <w:lang w:val="en-US"/>
        </w:rPr>
        <w:t xml:space="preserve"> Institute, Moscow, Russia</w:t>
      </w:r>
    </w:p>
    <w:p w:rsidR="00277964" w:rsidRPr="00296272" w:rsidRDefault="00277964" w:rsidP="006960A9">
      <w:pPr>
        <w:spacing w:after="96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296272">
        <w:rPr>
          <w:rFonts w:ascii="Times New Roman" w:hAnsi="Times New Roman"/>
          <w:sz w:val="24"/>
          <w:szCs w:val="24"/>
          <w:lang w:val="en-US"/>
        </w:rPr>
        <w:t>Institute of Nuclear Physics, Tashkent, Uzbekistan</w:t>
      </w:r>
    </w:p>
    <w:p w:rsidR="006960A9" w:rsidRPr="006960A9" w:rsidRDefault="006960A9" w:rsidP="006960A9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6272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Pr="002962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nburtebayev@yandex.ru</w:t>
      </w:r>
    </w:p>
    <w:p w:rsidR="00AE63C5" w:rsidRPr="006960A9" w:rsidRDefault="00AE63C5" w:rsidP="00FF6E59">
      <w:pPr>
        <w:spacing w:after="96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63C5" w:rsidRPr="006960A9" w:rsidRDefault="00AE63C5" w:rsidP="00AE63C5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3C5" w:rsidRPr="006960A9" w:rsidRDefault="00AE63C5" w:rsidP="00AE63C5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Experimental angular distributions of alpha particles scattered from 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B nuclei were measured with extracted beam of isochronous cyclotron U-150M of Institute of nuclear physics (INP, Almaty, Kazakhstan) at energies E=29, 40, 50 MeV.</w:t>
      </w:r>
    </w:p>
    <w:p w:rsidR="00AE63C5" w:rsidRPr="006960A9" w:rsidRDefault="009B5D23" w:rsidP="00AE63C5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Thin metallic foils made of boron-11 isotope were used as targets. Target thickness was determined at INP UKP-2-1 linear accelerator. For this purpose </w:t>
      </w:r>
      <w:proofErr w:type="gramStart"/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6960A9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S reaction yield curves in the region of  </w:t>
      </w:r>
      <w:r w:rsidRPr="006960A9">
        <w:rPr>
          <w:rFonts w:ascii="Times New Roman" w:hAnsi="Times New Roman" w:cs="Times New Roman"/>
          <w:sz w:val="24"/>
          <w:szCs w:val="24"/>
        </w:rPr>
        <w:t>Е</w:t>
      </w:r>
      <w:r w:rsidRPr="006960A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=992 </w:t>
      </w:r>
      <w:proofErr w:type="spellStart"/>
      <w:r w:rsidRPr="006960A9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resonance [1] were measured using aluminum foil and sputtered target. The shift of the resonance in </w:t>
      </w:r>
      <w:proofErr w:type="gramStart"/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6960A9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S reaction, caused by the protons energy loss as passing through boron film, was 62,2 </w:t>
      </w:r>
      <w:proofErr w:type="spellStart"/>
      <w:r w:rsidRPr="006960A9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that corresponds to target thickness of 320 µg/cm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A46D8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>(Figure 1)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5FE2" w:rsidRPr="006960A9">
        <w:rPr>
          <w:rFonts w:ascii="Times New Roman" w:hAnsi="Times New Roman" w:cs="Times New Roman"/>
          <w:sz w:val="24"/>
          <w:szCs w:val="24"/>
          <w:lang w:val="en-US"/>
        </w:rPr>
        <w:t>This method allowed determining the target thickness with an uncertainty not worse than 5%.</w:t>
      </w:r>
    </w:p>
    <w:p w:rsidR="005A46D8" w:rsidRPr="0045705C" w:rsidRDefault="00495FE2" w:rsidP="005A46D8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Nuclear reactions products 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were registered and identified using standard ΔE-E method realized on the basis of PC/AT personal computer. ORTEC silicon semiconductor detectors were employed as counters. Angular distributions of differential cross sections of registered alpha particles were measured in angular range of </w:t>
      </w:r>
      <w:proofErr w:type="spellStart"/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="00F5233B" w:rsidRPr="006960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lab</w:t>
      </w:r>
      <w:proofErr w:type="spellEnd"/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-170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with an increment 1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for the forward hemisphere and 3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-5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for backward hemisphere. The registration system solid angle was 4</w:t>
      </w:r>
      <w:proofErr w:type="gramStart"/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,22</w:t>
      </w:r>
      <w:proofErr w:type="gramEnd"/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>∙10</w:t>
      </w:r>
      <w:r w:rsidR="00F5233B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="00F5233B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steradian. The detector energy resolution </w:t>
      </w:r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at small angles was within (290) </w:t>
      </w:r>
      <w:proofErr w:type="spellStart"/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, at large angles it was within (350) </w:t>
      </w:r>
      <w:proofErr w:type="spellStart"/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="005A46D8" w:rsidRPr="006960A9">
        <w:rPr>
          <w:rFonts w:ascii="Times New Roman" w:hAnsi="Times New Roman" w:cs="Times New Roman"/>
          <w:sz w:val="24"/>
          <w:szCs w:val="24"/>
          <w:lang w:val="en-US"/>
        </w:rPr>
        <w:t>, and was mainly due to cyclotron beam energy spread and target thickness.</w:t>
      </w:r>
    </w:p>
    <w:p w:rsidR="00984157" w:rsidRPr="0045705C" w:rsidRDefault="00984157" w:rsidP="00AE63C5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157" w:rsidRPr="006960A9" w:rsidRDefault="002F1FFD" w:rsidP="006960A9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0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8384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917" cy="4636212"/>
                      <a:chOff x="1571603" y="857231"/>
                      <a:chExt cx="5857917" cy="4636212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1571603" y="857231"/>
                        <a:ext cx="5857917" cy="4636212"/>
                        <a:chOff x="1571603" y="857231"/>
                        <a:chExt cx="5857917" cy="4636212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71603" y="857231"/>
                          <a:ext cx="5857917" cy="4636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7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85918" y="2285992"/>
                          <a:ext cx="323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vert270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counts</a:t>
                            </a:r>
                            <a:endPara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4400295" y="4907173"/>
                          <a:ext cx="814647" cy="307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channels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A46D8" w:rsidRPr="006960A9" w:rsidRDefault="005A46D8" w:rsidP="00FF6E59">
      <w:pPr>
        <w:spacing w:after="96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Figure 1 – Energy spectrum of alpha particles scattered from 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B measured at INP U-150M accelerator at E=29 MeV.</w:t>
      </w:r>
    </w:p>
    <w:p w:rsidR="005A46D8" w:rsidRPr="006960A9" w:rsidRDefault="005A46D8" w:rsidP="00FF6E59">
      <w:pPr>
        <w:spacing w:after="96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3448" w:rsidRPr="00DC30B2" w:rsidRDefault="005A46D8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experimental data on 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alpha particles 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elastic and inelastic scattering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leading to 4,445 MeV (5/2</w:t>
      </w:r>
      <w:proofErr w:type="gramStart"/>
      <w:r w:rsidR="00C1525A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and 6,743 MeV (7/2</w:t>
      </w:r>
      <w:r w:rsidR="00C1525A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were analyzed within the framework of coupled channels method</w:t>
      </w:r>
      <w:r w:rsidR="00C1525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(Figure 2)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The analysis was made with the employment of experimental data on α+</w:t>
      </w:r>
      <w:r w:rsidR="00A45A6A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B scattering at E</w:t>
      </w:r>
      <w:r w:rsidR="00A45A6A" w:rsidRPr="006960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=40 and 50 MeV</w:t>
      </w:r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in order to obtain reliable optical potential parameters. </w:t>
      </w:r>
      <w:r w:rsidR="00DC30B2">
        <w:rPr>
          <w:rFonts w:ascii="Times New Roman" w:hAnsi="Times New Roman" w:cs="Times New Roman"/>
          <w:sz w:val="24"/>
          <w:szCs w:val="24"/>
          <w:lang w:val="en-US"/>
        </w:rPr>
        <w:t>We obtained β</w:t>
      </w:r>
      <w:r w:rsidR="00DC30B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DC30B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C30B2" w:rsidRPr="00DC3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0B2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DC30B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DC30B2">
        <w:rPr>
          <w:rFonts w:ascii="Times New Roman" w:hAnsi="Times New Roman" w:cs="Times New Roman"/>
          <w:sz w:val="24"/>
          <w:szCs w:val="24"/>
          <w:lang w:val="en-US"/>
        </w:rPr>
        <w:t xml:space="preserve"> deformation parameters which are in good agreement with literature data.</w:t>
      </w:r>
    </w:p>
    <w:p w:rsidR="00C1525A" w:rsidRPr="006960A9" w:rsidRDefault="00C124F2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4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1.05pt;margin-top:9.9pt;width:280.5pt;height:211.65pt;z-index:251666432">
            <v:imagedata r:id="rId7" o:title=""/>
          </v:shape>
          <o:OLEObject Type="Embed" ProgID="Origin50.Graph" ShapeID="_x0000_s1029" DrawAspect="Content" ObjectID="_1477300165" r:id="rId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210.45pt;margin-top:6.15pt;width:277.25pt;height:215.85pt;z-index:251660288">
            <v:imagedata r:id="rId9" o:title=""/>
          </v:shape>
          <o:OLEObject Type="Embed" ProgID="Origin50.Graph" ShapeID="_x0000_s1026" DrawAspect="Content" ObjectID="_1477300166" r:id="rId10"/>
        </w:pict>
      </w:r>
      <w:r w:rsidR="0045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24F2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4F2">
        <w:rPr>
          <w:noProof/>
          <w:sz w:val="24"/>
          <w:szCs w:val="24"/>
        </w:rPr>
        <w:pict>
          <v:shape id="_x0000_s1028" type="#_x0000_t75" style="position:absolute;left:0;text-align:left;margin-left:64.95pt;margin-top:.5pt;width:287.45pt;height:209.95pt;z-index:251664384">
            <v:imagedata r:id="rId11" o:title=""/>
          </v:shape>
          <o:OLEObject Type="Embed" ProgID="Origin50.Graph" ShapeID="_x0000_s1028" DrawAspect="Content" ObjectID="_1477300167" r:id="rId12"/>
        </w:pict>
      </w: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Default="006960A9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Default="006960A9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Default="006960A9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Pr="006960A9" w:rsidRDefault="006960A9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157" w:rsidRPr="006960A9" w:rsidRDefault="00984157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Default="006960A9" w:rsidP="00C1525A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0A9" w:rsidRPr="006960A9" w:rsidRDefault="006960A9" w:rsidP="00C1525A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525A" w:rsidRPr="006960A9" w:rsidRDefault="00C1525A" w:rsidP="00C1525A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>Figure 2 – Differential cross sections of elastic and inelastic scattering α+</w:t>
      </w:r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B at E</w:t>
      </w:r>
      <w:r w:rsidRPr="006960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=29 MeV leading to 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4,445 MeV (5/2</w:t>
      </w:r>
      <w:proofErr w:type="gramStart"/>
      <w:r w:rsidR="00A45A6A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and 6,743 MeV (7/2</w:t>
      </w:r>
      <w:r w:rsidR="00A45A6A"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) states (points) and theoretical calculations using coupled channels methods</w:t>
      </w:r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(curves)</w:t>
      </w:r>
      <w:r w:rsidR="00A45A6A" w:rsidRPr="006960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A6A" w:rsidRDefault="00A45A6A" w:rsidP="006960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30B2" w:rsidRDefault="00DC30B2" w:rsidP="00DC3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Poor agreement of theoretical calculations for 6,743 MeV (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7/2</w:t>
      </w:r>
      <w:proofErr w:type="gramStart"/>
      <w:r w:rsidRPr="00696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probably due to necessity of more accurate determination of higher order deformation parameters</w:t>
      </w:r>
    </w:p>
    <w:p w:rsidR="0045705C" w:rsidRDefault="0045705C" w:rsidP="00DC3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current work will be used in future works for describing further excitation levels e.g. 8.56 MeV </w:t>
      </w:r>
      <w:r w:rsidR="006A4938">
        <w:rPr>
          <w:rFonts w:ascii="Times New Roman" w:hAnsi="Times New Roman" w:cs="Times New Roman"/>
          <w:sz w:val="24"/>
          <w:szCs w:val="24"/>
          <w:lang w:val="en-US"/>
        </w:rPr>
        <w:t>(3/2</w:t>
      </w:r>
      <w:proofErr w:type="gramStart"/>
      <w:r w:rsidR="006A49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6A493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DC30B2">
        <w:rPr>
          <w:rFonts w:ascii="Times New Roman" w:hAnsi="Times New Roman" w:cs="Times New Roman"/>
          <w:sz w:val="24"/>
          <w:szCs w:val="24"/>
          <w:lang w:val="en-US"/>
        </w:rPr>
        <w:t xml:space="preserve"> which according to predictions may have enhanced radius</w:t>
      </w:r>
      <w:r w:rsidR="006A49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705C" w:rsidRDefault="0045705C" w:rsidP="006960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30B2" w:rsidRPr="006960A9" w:rsidRDefault="00DC30B2" w:rsidP="006960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3448" w:rsidRPr="006960A9" w:rsidRDefault="00313448" w:rsidP="006960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6960A9" w:rsidRPr="006960A9" w:rsidRDefault="00313448" w:rsidP="006960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960A9" w:rsidRPr="006960A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60A9">
        <w:rPr>
          <w:rFonts w:ascii="Times New Roman" w:hAnsi="Times New Roman" w:cs="Times New Roman"/>
          <w:sz w:val="24"/>
          <w:szCs w:val="24"/>
          <w:lang w:val="en-US"/>
        </w:rPr>
        <w:t>Bulter</w:t>
      </w:r>
      <w:proofErr w:type="spellEnd"/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proofErr w:type="gramStart"/>
      <w:r w:rsidRPr="006960A9">
        <w:rPr>
          <w:rFonts w:ascii="Times New Roman" w:hAnsi="Times New Roman" w:cs="Times New Roman"/>
          <w:sz w:val="24"/>
          <w:szCs w:val="24"/>
          <w:lang w:val="en-US"/>
        </w:rPr>
        <w:t>,W</w:t>
      </w:r>
      <w:proofErr w:type="gramEnd"/>
      <w:r w:rsidRPr="006960A9">
        <w:rPr>
          <w:rFonts w:ascii="Times New Roman" w:hAnsi="Times New Roman" w:cs="Times New Roman"/>
          <w:sz w:val="24"/>
          <w:szCs w:val="24"/>
          <w:lang w:val="en-US"/>
        </w:rPr>
        <w:t>, Table of (p,</w:t>
      </w:r>
      <w:r w:rsidRPr="006960A9">
        <w:rPr>
          <w:rFonts w:ascii="Times New Roman" w:hAnsi="Times New Roman" w:cs="Times New Roman"/>
          <w:sz w:val="24"/>
          <w:szCs w:val="24"/>
        </w:rPr>
        <w:t>γ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>) resonances by proton en</w:t>
      </w:r>
      <w:r w:rsidR="0045705C">
        <w:rPr>
          <w:rFonts w:ascii="Times New Roman" w:hAnsi="Times New Roman" w:cs="Times New Roman"/>
          <w:sz w:val="24"/>
          <w:szCs w:val="24"/>
          <w:lang w:val="en-US"/>
        </w:rPr>
        <w:t>ergy: E = 0,163 – 3,0 MeV, // U.S.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Naval Research Laboratory, NRL Report, – 1959, – P, 5282-5299</w:t>
      </w:r>
    </w:p>
    <w:p w:rsidR="00313448" w:rsidRPr="006960A9" w:rsidRDefault="006960A9" w:rsidP="006960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60A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960A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N.Burtebaev</w:t>
      </w:r>
      <w:proofErr w:type="spell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M.K.Baktybaev</w:t>
      </w:r>
      <w:proofErr w:type="spell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B.A.Duisebaev</w:t>
      </w:r>
      <w:proofErr w:type="spell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R.J.Peterson</w:t>
      </w:r>
      <w:proofErr w:type="spell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S.B.Sakuta</w:t>
      </w:r>
      <w:proofErr w:type="spell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, Scattering of </w:t>
      </w:r>
      <w:r w:rsidR="00313448" w:rsidRPr="006960A9">
        <w:rPr>
          <w:rFonts w:ascii="Times New Roman" w:hAnsi="Times New Roman" w:cs="Times New Roman"/>
          <w:sz w:val="24"/>
          <w:szCs w:val="24"/>
        </w:rPr>
        <w:t>α</w:t>
      </w:r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 xml:space="preserve"> particles on B-11 nuclei at energies 40 and 50 MeV</w:t>
      </w:r>
      <w:proofErr w:type="gramStart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313448" w:rsidRPr="006960A9">
        <w:rPr>
          <w:rFonts w:ascii="Times New Roman" w:hAnsi="Times New Roman" w:cs="Times New Roman"/>
          <w:sz w:val="24"/>
          <w:szCs w:val="24"/>
          <w:lang w:val="en-US"/>
        </w:rPr>
        <w:t>/ Physics of Atomic Nuclei, - 2005, Vol.68, p.1303</w:t>
      </w:r>
    </w:p>
    <w:sectPr w:rsidR="00313448" w:rsidRPr="006960A9" w:rsidSect="00F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89C"/>
    <w:multiLevelType w:val="hybridMultilevel"/>
    <w:tmpl w:val="2FE0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57"/>
    <w:rsid w:val="002122FD"/>
    <w:rsid w:val="00277964"/>
    <w:rsid w:val="00277C52"/>
    <w:rsid w:val="002803A7"/>
    <w:rsid w:val="00296272"/>
    <w:rsid w:val="002F1FFD"/>
    <w:rsid w:val="00313448"/>
    <w:rsid w:val="0045705C"/>
    <w:rsid w:val="00495FE2"/>
    <w:rsid w:val="005A46D8"/>
    <w:rsid w:val="006960A9"/>
    <w:rsid w:val="006A4938"/>
    <w:rsid w:val="00984157"/>
    <w:rsid w:val="00995172"/>
    <w:rsid w:val="009B5D23"/>
    <w:rsid w:val="00A45A6A"/>
    <w:rsid w:val="00AE63C5"/>
    <w:rsid w:val="00C124F2"/>
    <w:rsid w:val="00C1525A"/>
    <w:rsid w:val="00DC30B2"/>
    <w:rsid w:val="00DF6C01"/>
    <w:rsid w:val="00E776D5"/>
    <w:rsid w:val="00F02E77"/>
    <w:rsid w:val="00F06EC4"/>
    <w:rsid w:val="00F5233B"/>
    <w:rsid w:val="00FF0B5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448"/>
    <w:pPr>
      <w:ind w:left="720"/>
      <w:contextualSpacing/>
    </w:pPr>
  </w:style>
  <w:style w:type="character" w:customStyle="1" w:styleId="apple-converted-space">
    <w:name w:val="apple-converted-space"/>
    <w:basedOn w:val="a0"/>
    <w:rsid w:val="00313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1A70-1B8E-4B6D-AFB8-4EFD4B1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Admin</cp:lastModifiedBy>
  <cp:revision>5</cp:revision>
  <dcterms:created xsi:type="dcterms:W3CDTF">2014-11-12T04:36:00Z</dcterms:created>
  <dcterms:modified xsi:type="dcterms:W3CDTF">2014-11-12T06:23:00Z</dcterms:modified>
</cp:coreProperties>
</file>